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Art License Agreement Short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Art License Agreement ("Agreement") is made and entered into as of _______________ (Effective Date), by and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ir1muu7lu9ow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Grant of License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grants Licensee a non-exclusive / exclusive (select one) right to use the artwork titled: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Artwork: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Medium &amp; Description: 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Scope: ☐ Personal Use ☐ Commercial Use ☐ Limited Distribution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Territory: ☐ Worldwide ☐ Regional: 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Reproduction Rights: ☐ Digital ☐ Print ☐ Merchandise ☐ Other: _______________________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0u6qzldvlsz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Payment &amp; Royalties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Fee: $ 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Royalty Rate (if applicable): _______________% per sale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☐ One-time Payment ☐ Recurring (Specify: _______________)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g56zosybjjk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Term &amp; Termination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shall commence on _______________ and continue until _______________, unless terminated earlier due to: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Breach of Agreement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Non-Payment of Fees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Expiry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xj9oh9c0jmx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Ownership &amp; Copyright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Licensor retains full ownership and copyright over the Artwork.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Licensee may not claim ownership, resell, or sublicense without prior written consent.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qf1oyt8a0vh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Governing Law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shall be governed under the laws of [State/Country].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Licensor Signature: ________________________ Date: _______________</w:t>
        <w:br w:type="textWrapping"/>
        <w:t xml:space="preserve"> Licensee Signature: ________________________ Date: 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