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8"/>
          <w:szCs w:val="68"/>
          <w:shd w:fill="ead1dc" w:val="clear"/>
        </w:rPr>
      </w:pPr>
      <w:r w:rsidDel="00000000" w:rsidR="00000000" w:rsidRPr="00000000">
        <w:rPr>
          <w:b w:val="1"/>
          <w:sz w:val="68"/>
          <w:szCs w:val="68"/>
          <w:shd w:fill="ead1dc" w:val="clear"/>
          <w:rtl w:val="0"/>
        </w:rPr>
        <w:t xml:space="preserve">Personal Grant Line Item Budget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ejug2rautdq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186zixgz2dc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Applicant Details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 Purpose: _______________________________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6mw3gg7dlf49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Expense Breakdown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Housing: $________________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Transportation: $________________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Utilities: $________________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 &amp; Training: $________________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Healthcare &amp; Insurance: $________________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Expenses: $________________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t4nhubasyusw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Acknowledgment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Signature: 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 Officer Approval: 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