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fe599" w:val="clear"/>
        </w:rPr>
      </w:pPr>
      <w:r w:rsidDel="00000000" w:rsidR="00000000" w:rsidRPr="00000000">
        <w:rPr>
          <w:b w:val="1"/>
          <w:sz w:val="66"/>
          <w:szCs w:val="66"/>
          <w:shd w:fill="ffe599" w:val="clear"/>
          <w:rtl w:val="0"/>
        </w:rPr>
        <w:t xml:space="preserve">MN Private Party Firearm Transfer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8kylfpv1n0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SELLER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ID/Driver’s License Number: __________________________________________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n8b0h5uuznm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BUYER INFORMATION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ID/Driver’s License Number: __________________________________________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z7mmt993scfi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FIREARM INFORMATION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Number: 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Caliber: 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Type: ☐ Pistol ☐ Rifle ☐ Shotgun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woby5ru9ow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PURCHASE DETAILS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 $____________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rxedcax92bv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BACKGROUND CHECK CONFIRMATION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buyer has a valid permit to carry or permit to purchase a firearm.</w:t>
        <w:br w:type="textWrapping"/>
        <w:t xml:space="preserve">☐ The seller has verified the buyer’s legal eligibility to own a firearm.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xcz7zto06cd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Signature: ___________________________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  <w:br w:type="textWrapping"/>
        <w:t xml:space="preserve">Buyer Signature: ___________________________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