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9cb9c" w:val="clear"/>
        </w:rPr>
      </w:pPr>
      <w:r w:rsidDel="00000000" w:rsidR="00000000" w:rsidRPr="00000000">
        <w:rPr>
          <w:b w:val="1"/>
          <w:sz w:val="64"/>
          <w:szCs w:val="64"/>
          <w:shd w:fill="f9cb9c" w:val="clear"/>
          <w:rtl w:val="0"/>
        </w:rPr>
        <w:t xml:space="preserve">Leadership Assessment Questions for Employees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dl5mwl99rz3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Leadership Growth and Potential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05.709795704557"/>
        <w:gridCol w:w="1961.2362493452067"/>
        <w:gridCol w:w="1887.6898899947616"/>
        <w:gridCol w:w="2005.364064955474"/>
        <w:tblGridChange w:id="0">
          <w:tblGrid>
            <w:gridCol w:w="3505.709795704557"/>
            <w:gridCol w:w="1961.2362493452067"/>
            <w:gridCol w:w="1887.6898899947616"/>
            <w:gridCol w:w="2005.36406495547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Meets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Exceeds Expectations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lead a team effectively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Confidence in decision-making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and listening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adapt to challenges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Encouraging collaboration among team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Providing solutions to workplace problems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Accepting feedback and applying 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Managing work-life balance while leading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leadership skills do you want to improve?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 you handle leadership challenges in the workplace?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mfd5d33kbrt" w:id="1"/>
      <w:bookmarkEnd w:id="1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