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Family Gun Transfer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qz067gvefa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TRANSFEROR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Transferee: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 ZIP Code: 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License/ID Number: 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k25sdpq5o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TRANSFEREE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 Relationship to Transferor: 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 ZIP Code: 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License/ID Number: 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fytmqm2f0k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FIREARM INFORMATION</w:t>
      </w:r>
    </w:p>
    <w:tbl>
      <w:tblPr>
        <w:tblStyle w:val="Table1"/>
        <w:tblW w:w="8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650"/>
        <w:gridCol w:w="2415"/>
        <w:gridCol w:w="2460"/>
        <w:tblGridChange w:id="0">
          <w:tblGrid>
            <w:gridCol w:w="1725"/>
            <w:gridCol w:w="1650"/>
            <w:gridCol w:w="2415"/>
            <w:gridCol w:w="24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Firearm 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Caliber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This firearm is transferred as a gift under state and federal laws.</w:t>
        <w:br w:type="textWrapping"/>
        <w:t xml:space="preserve">☐ The transferee has completed any required firearm safety or ownership course.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qsz31j4v92t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Transferor Signature: 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  <w:br w:type="textWrapping"/>
        <w:t xml:space="preserve">Transferee Signature: 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