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ce5cd" w:val="clear"/>
        </w:rPr>
      </w:pPr>
      <w:r w:rsidDel="00000000" w:rsidR="00000000" w:rsidRPr="00000000">
        <w:rPr>
          <w:b w:val="1"/>
          <w:sz w:val="56"/>
          <w:szCs w:val="56"/>
          <w:shd w:fill="fce5cd" w:val="clear"/>
          <w:rtl w:val="0"/>
        </w:rPr>
        <w:t xml:space="preserve">Dual Citizenship Application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hvxwzw5kss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Birth: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Citizenship(s):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Second Citizenship: 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ssw21d4f2f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RESIDENCY HISTORY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2220"/>
        <w:gridCol w:w="5100"/>
        <w:tblGridChange w:id="0">
          <w:tblGrid>
            <w:gridCol w:w="1890"/>
            <w:gridCol w:w="2220"/>
            <w:gridCol w:w="51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Country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Years Resided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Permanent Resident? (Yes/No)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k3rgkv8a13w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SUPPORTING DOCUMENTS REQUIRED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Proof of birth and nationality</w:t>
        <w:br w:type="textWrapping"/>
        <w:t xml:space="preserve">☐ Government-issued identification</w:t>
        <w:br w:type="textWrapping"/>
        <w:t xml:space="preserve">☐ Previous citizenship certificate (if applicable)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v6xbp1uxe4c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affirm that the details in this application are accurate.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 Date: 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