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Cybersecurity Risk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Organization: __________________________________________</w:t>
        <w:br w:type="textWrapping"/>
        <w:t xml:space="preserve">Assessment Conducted By: ________________________________</w:t>
        <w:br w:type="textWrapping"/>
        <w:t xml:space="preserve">Date: _________________________________________________</w:t>
        <w:br w:type="textWrapping"/>
        <w:t xml:space="preserve">Department: ___________________________________________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iklo9wlo7td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Cybersecurity Risk Evaluation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230"/>
        <w:gridCol w:w="1680"/>
        <w:gridCol w:w="1350"/>
        <w:gridCol w:w="2775"/>
        <w:tblGridChange w:id="0">
          <w:tblGrid>
            <w:gridCol w:w="2325"/>
            <w:gridCol w:w="1230"/>
            <w:gridCol w:w="1680"/>
            <w:gridCol w:w="1350"/>
            <w:gridCol w:w="277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High (✔)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Medium (✔)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Low (✔)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Vulnerability to Phishing Attacks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Password Management Policies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Encryption Measures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Firewalls and Antivirus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Response Plan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Identified Cybersecurity Threats: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 for Enhancing Security: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Assessor’s Signature: ________________________________</w:t>
        <w:br w:type="textWrapping"/>
        <w:t xml:space="preserve">Date: ________________________________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