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6b26b" w:val="clear"/>
        </w:rPr>
      </w:pPr>
      <w:r w:rsidDel="00000000" w:rsidR="00000000" w:rsidRPr="00000000">
        <w:rPr>
          <w:b w:val="1"/>
          <w:sz w:val="44"/>
          <w:szCs w:val="44"/>
          <w:shd w:fill="f6b26b" w:val="clear"/>
          <w:rtl w:val="0"/>
        </w:rPr>
        <w:t xml:space="preserve">Social Media Campaign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</w:t>
        <w:br w:type="textWrapping"/>
        <w:t xml:space="preserve">Name: ___________________________________________</w:t>
        <w:br w:type="textWrapping"/>
        <w:t xml:space="preserve">Company Name: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For</w:t>
        <w:br w:type="textWrapping"/>
        <w:t xml:space="preserve">Client Name: ___________________________________________</w:t>
        <w:br w:type="textWrapping"/>
        <w:t xml:space="preserve">Company Name: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ms85tiw4gwbt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Campaign Overview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proposal presents a structured social media campaign designed to increase brand reach, engagement, and conversions for [Client’s Business Name].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Campaign Objective: ___________________________________________</w:t>
        <w:br w:type="textWrapping"/>
        <w:t xml:space="preserve">Expected Impact: ___________________________________________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4xongknpckg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Campaign Structure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1695"/>
        <w:gridCol w:w="1440"/>
        <w:gridCol w:w="2850"/>
        <w:tblGridChange w:id="0">
          <w:tblGrid>
            <w:gridCol w:w="3045"/>
            <w:gridCol w:w="1695"/>
            <w:gridCol w:w="1440"/>
            <w:gridCol w:w="28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Campaign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Platform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Reach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Brand Awareness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Launch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Seasonal Promotions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User-Generated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fnwe3w7k571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Content &amp; Creative Development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Graphic Design</w:t>
        <w:br w:type="textWrapping"/>
        <w:t xml:space="preserve">☐ Video Marketing</w:t>
        <w:br w:type="textWrapping"/>
        <w:t xml:space="preserve">☐ Paid Advertising</w:t>
        <w:br w:type="textWrapping"/>
        <w:t xml:space="preserve">☐ Social Media Contests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braqm9bu5spy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Budget Allocation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Budget Estimate: $ _______________</w:t>
        <w:br w:type="textWrapping"/>
        <w:t xml:space="preserve">Ad Spend: $ _______________</w:t>
        <w:br w:type="textWrapping"/>
        <w:t xml:space="preserve">Influencer Partnerships: $ _______________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ub8ncy2kni8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Expected Results &amp; Measurement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Metrics for Evaluation:</w:t>
        <w:br w:type="textWrapping"/>
        <w:t xml:space="preserve">☐ Engagement Rate</w:t>
        <w:br w:type="textWrapping"/>
        <w:t xml:space="preserve">☐ Click-Through Rate (CTR)</w:t>
        <w:br w:type="textWrapping"/>
        <w:t xml:space="preserve">☐ Lead Conversions</w:t>
        <w:br w:type="textWrapping"/>
        <w:t xml:space="preserve">☐ ROI Analysis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qtx325m6z7qc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6. Authorization &amp; Execution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undersigned, approve the above campaign strategy for execution.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