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Restaurant Coffee Shop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Coffee Shop Information</w:t>
        <w:br w:type="textWrapping"/>
        <w:t xml:space="preserve">Name of Coffee Shop: ____________________________________________</w:t>
        <w:br w:type="textWrapping"/>
        <w:t xml:space="preserve">Address: ____________________________________________</w:t>
        <w:br w:type="textWrapping"/>
        <w:t xml:space="preserve">Date of Risk Assessment: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Team</w:t>
        <w:br w:type="textWrapping"/>
        <w:t xml:space="preserve">Conducted By: ____________________________________________</w:t>
        <w:br w:type="textWrapping"/>
        <w:t xml:space="preserve">Position: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 Categories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725"/>
        <w:gridCol w:w="2385"/>
        <w:gridCol w:w="2955"/>
        <w:tblGridChange w:id="0">
          <w:tblGrid>
            <w:gridCol w:w="2295"/>
            <w:gridCol w:w="1725"/>
            <w:gridCol w:w="2385"/>
            <w:gridCol w:w="29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Identified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 Measures Implemented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Residual Risk (Low/Medium/High)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Hot Beverage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 Safety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Spill Hazards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Waste Disposal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Safety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Exits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Allergens in Food/Beverages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Implement spill training for staff.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 regular equipment inspections.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Enhance allergen labeling on menus.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Approved By: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