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ead1dc" w:val="clear"/>
        </w:rPr>
      </w:pPr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Sensory Evaluation Score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Details:</w:t>
        <w:br w:type="textWrapping"/>
        <w:t xml:space="preserve">Name: ___________________________________________</w:t>
        <w:br w:type="textWrapping"/>
        <w:t xml:space="preserve">Date: ____________________________________________</w:t>
        <w:br w:type="textWrapping"/>
        <w:t xml:space="preserve">Contact: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Details:</w:t>
        <w:br w:type="textWrapping"/>
        <w:t xml:space="preserve">Product Name: ____________________________________</w:t>
        <w:br w:type="textWrapping"/>
        <w:t xml:space="preserve">Sample Code: 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Scoring Categories (Rate from 1-10):</w:t>
      </w:r>
    </w:p>
    <w:tbl>
      <w:tblPr>
        <w:tblStyle w:val="Table1"/>
        <w:tblW w:w="85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25"/>
        <w:gridCol w:w="2895"/>
        <w:gridCol w:w="3045"/>
        <w:tblGridChange w:id="0">
          <w:tblGrid>
            <w:gridCol w:w="2625"/>
            <w:gridCol w:w="2895"/>
            <w:gridCol w:w="30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Attribute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Aroma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Texture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Flavor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Acceptability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Observations: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Product Score (Average of Scores):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