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4cccc" w:val="clear"/>
        </w:rPr>
      </w:pPr>
      <w:r w:rsidDel="00000000" w:rsidR="00000000" w:rsidRPr="00000000">
        <w:rPr>
          <w:b w:val="1"/>
          <w:sz w:val="44"/>
          <w:szCs w:val="44"/>
          <w:shd w:fill="f4cccc" w:val="clear"/>
          <w:rtl w:val="0"/>
        </w:rPr>
        <w:t xml:space="preserve">Lottery Syndicate Phool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Agreement: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Syndicate Name: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Pool Manager Details: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Participants’ Information Table: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60.0613496932515"/>
        <w:gridCol w:w="2318.4662576687115"/>
        <w:gridCol w:w="2576.871165644172"/>
        <w:gridCol w:w="2404.6012269938647"/>
        <w:tblGridChange w:id="0">
          <w:tblGrid>
            <w:gridCol w:w="2060.0613496932515"/>
            <w:gridCol w:w="2318.4662576687115"/>
            <w:gridCol w:w="2576.871165644172"/>
            <w:gridCol w:w="2404.60122699386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Contribution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Ticket Purchasing: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Frequency: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Lottery Type: 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Notification Process: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ticket numbers are shared: 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Prize Distribution Rules: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for any unclaimed winnings: 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Termination Clause: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Steps to withdraw from the syndicate: 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Pool Manager: ______________________________________</w:t>
        <w:br w:type="textWrapping"/>
        <w:t xml:space="preserve">Date: 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