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Engineering Evaluation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Engineering Team Lead: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Metrics:</w:t>
      </w:r>
    </w:p>
    <w:tbl>
      <w:tblPr>
        <w:tblStyle w:val="Table1"/>
        <w:tblW w:w="9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1935"/>
        <w:gridCol w:w="2145"/>
        <w:gridCol w:w="2205"/>
        <w:tblGridChange w:id="0">
          <w:tblGrid>
            <w:gridCol w:w="3120"/>
            <w:gridCol w:w="1935"/>
            <w:gridCol w:w="2145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Actionable Steps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Utilization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Code Quality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Measures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Timely Milestone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in Solutions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in 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on Overall Engineering Performance: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</w:t>
        <w:br w:type="textWrapping"/>
        <w:t xml:space="preserve">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