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f2cc" w:val="clear"/>
        </w:rPr>
      </w:pPr>
      <w:r w:rsidDel="00000000" w:rsidR="00000000" w:rsidRPr="00000000">
        <w:rPr>
          <w:b w:val="1"/>
          <w:sz w:val="42"/>
          <w:szCs w:val="42"/>
          <w:shd w:fill="fff2cc" w:val="clear"/>
          <w:rtl w:val="0"/>
        </w:rPr>
        <w:t xml:space="preserve">Wire Transfer Instructions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Number/IBAN: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SWIFT/BIC Code: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Address: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Currency Type: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Online Transaction Details</w:t>
      </w:r>
    </w:p>
    <w:tbl>
      <w:tblPr>
        <w:tblStyle w:val="Table1"/>
        <w:tblW w:w="8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0"/>
        <w:gridCol w:w="2150"/>
        <w:gridCol w:w="1910"/>
        <w:gridCol w:w="2750"/>
        <w:tblGridChange w:id="0">
          <w:tblGrid>
            <w:gridCol w:w="1790"/>
            <w:gridCol w:w="2150"/>
            <w:gridCol w:w="1910"/>
            <w:gridCol w:w="2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Confirmation Received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