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fce5cd" w:val="clear"/>
        </w:rPr>
      </w:pPr>
      <w:r w:rsidDel="00000000" w:rsidR="00000000" w:rsidRPr="00000000">
        <w:rPr>
          <w:b w:val="1"/>
          <w:sz w:val="38"/>
          <w:szCs w:val="38"/>
          <w:shd w:fill="fce5cd" w:val="clear"/>
          <w:rtl w:val="0"/>
        </w:rPr>
        <w:t xml:space="preserve">International Wire Transfer Instructions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SWIFT/BIC Code: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IBAN/Account Number: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Address: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Details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Currency Type: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Amount: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Exchange Rate (if applicable):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Transfer: 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Instructions</w:t>
        <w:br w:type="textWrapping"/>
        <w:t xml:space="preserve">☐ Notify recipient upon completion</w:t>
        <w:br w:type="textWrapping"/>
        <w:t xml:space="preserve">☐ Convert currency before transfer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Currency Conversion</w:t>
      </w:r>
    </w:p>
    <w:tbl>
      <w:tblPr>
        <w:tblStyle w:val="Table1"/>
        <w:tblW w:w="84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85"/>
        <w:gridCol w:w="2205"/>
        <w:gridCol w:w="2715"/>
        <w:gridCol w:w="2070"/>
        <w:tblGridChange w:id="0">
          <w:tblGrid>
            <w:gridCol w:w="1485"/>
            <w:gridCol w:w="2205"/>
            <w:gridCol w:w="2715"/>
            <w:gridCol w:w="2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Exchange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Converted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Final Amount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EUR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