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Patient Satisfaction Questionnaire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ID: ___________________________________</w:t>
        <w:br w:type="textWrapping"/>
        <w:t xml:space="preserve">Date of Visit: ________________________________</w:t>
        <w:br w:type="textWrapping"/>
        <w:t xml:space="preserve">Provider’s Name: ____________________________</w:t>
        <w:br w:type="textWrapping"/>
        <w:t xml:space="preserve">Department (if applicable):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Patient Experience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95"/>
        <w:gridCol w:w="1425"/>
        <w:gridCol w:w="945"/>
        <w:gridCol w:w="795"/>
        <w:gridCol w:w="870"/>
        <w:tblGridChange w:id="0">
          <w:tblGrid>
            <w:gridCol w:w="4695"/>
            <w:gridCol w:w="1425"/>
            <w:gridCol w:w="945"/>
            <w:gridCol w:w="795"/>
            <w:gridCol w:w="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Survey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Ease of Access to Online 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 of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Ease of Completing Questions Online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Taken to Submit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Staff Interaction and Support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of staff for online queries: ☐ Excellent ☐ Good ☐ Fair ☐ Poor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Responsiveness to patient’s online questions: ☐ Excellent ☐ Good ☐ Fair ☐ Poor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Professionalism in online communication: 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Online Experience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Satisfaction with Online Services</w:t>
        <w:br w:type="textWrapping"/>
        <w:t xml:space="preserve">☐ Very Satisfied ☐ Satisfied ☐ Neutral ☐ Dissatisfied ☐ Very Dissatisfied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