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d9d2e9" w:val="clear"/>
        </w:rPr>
      </w:pPr>
      <w:r w:rsidDel="00000000" w:rsidR="00000000" w:rsidRPr="00000000">
        <w:rPr>
          <w:b w:val="1"/>
          <w:sz w:val="60"/>
          <w:szCs w:val="60"/>
          <w:shd w:fill="d9d2e9" w:val="clear"/>
          <w:rtl w:val="0"/>
        </w:rPr>
        <w:t xml:space="preserve">Landlord Reference Check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Applicant Details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Applicant’s 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Property Applied For: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Landlord Details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 of Current/Previous Landlord: 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Reference Questions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757.955271565495"/>
        <w:gridCol w:w="1903.8977635782746"/>
        <w:gridCol w:w="3698.1469648562297"/>
        <w:tblGridChange w:id="0">
          <w:tblGrid>
            <w:gridCol w:w="3757.955271565495"/>
            <w:gridCol w:w="1903.8977635782746"/>
            <w:gridCol w:w="3698.1469648562297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Answer (Yes/No)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Details (if applicable)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Was rent paid consistently on time?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Was the property well-maintained?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Did the tenant comply with the lease?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Would you recommend this tenant?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Comments: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Landlord’s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