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0000"/>
          <w:sz w:val="42"/>
          <w:szCs w:val="4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2"/>
          <w:szCs w:val="42"/>
          <w:rtl w:val="0"/>
        </w:rPr>
        <w:t xml:space="preserve">Generic Dental Medical Clearance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Generic Dental Medical Clearance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Provider Details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Name: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Address: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Health Assessment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 known medical conditions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History of Heart Conditions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Diabetes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Allergies (specify): 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Medications (list all): 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Clearance Statement</w:t>
        <w:br w:type="textWrapping"/>
        <w:t xml:space="preserve">Based on the medical evaluation, the patient is: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Cleared for all dental treatments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Cleared with limitations (explain): 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Not cleared (explanation required): 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Treatment Recommendations (if applicable)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Table for Physician Comments</w:t>
      </w:r>
    </w:p>
    <w:tbl>
      <w:tblPr>
        <w:tblStyle w:val="Table1"/>
        <w:tblW w:w="85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0"/>
        <w:gridCol w:w="1320"/>
        <w:gridCol w:w="2790"/>
        <w:gridCol w:w="2115"/>
        <w:tblGridChange w:id="0">
          <w:tblGrid>
            <w:gridCol w:w="2370"/>
            <w:gridCol w:w="1320"/>
            <w:gridCol w:w="2790"/>
            <w:gridCol w:w="211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Observation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Findings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Physician 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Follow-up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Signature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