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d9ead3" w:val="clear"/>
        </w:rPr>
      </w:pPr>
      <w:r w:rsidDel="00000000" w:rsidR="00000000" w:rsidRPr="00000000">
        <w:rPr>
          <w:b w:val="1"/>
          <w:sz w:val="42"/>
          <w:szCs w:val="42"/>
          <w:shd w:fill="d9ead3" w:val="clear"/>
          <w:rtl w:val="0"/>
        </w:rPr>
        <w:t xml:space="preserve">Corporation Operating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This Corporation Operating Agreement ("Agreement") is made on the ____ day of __________, 20,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Company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Corporation Name: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Incorporation: 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Incorporation: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Principal Office Address: 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Board of Directors</w:t>
        <w:br w:type="textWrapping"/>
        <w:t xml:space="preserve">The Board of Directors shall include: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Director 1: 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Director 2: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Director 3: __________________________________________</w:t>
        <w:br w:type="textWrapping"/>
        <w:t xml:space="preserve">The term of service for each director shall be _______ years.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Shareholders and Shares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Corporation has authorized ______ shares of common stock. Each shareholder’s details, including share percentages, must be recorded in the corporation’s official records.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Voting and Decision-Making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All major decisions require approval by a minimum of ____% of shareholders. Board meetings shall occur on a quarterly basis or as required.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Financial Reporting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Corporation shall prepare an annual financial report, including profit and loss statements. All tax obligations are the responsibility of the Corporation.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</w:t>
        <w:br w:type="textWrapping"/>
        <w:t xml:space="preserve">Authorized Representative: ______________________________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