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f4cccc" w:val="clear"/>
        </w:rPr>
      </w:pPr>
      <w:r w:rsidDel="00000000" w:rsidR="00000000" w:rsidRPr="00000000">
        <w:rPr>
          <w:b w:val="1"/>
          <w:sz w:val="42"/>
          <w:szCs w:val="42"/>
          <w:shd w:fill="f4cccc" w:val="clear"/>
          <w:rtl w:val="0"/>
        </w:rPr>
        <w:t xml:space="preserve">Business Operating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Business Operating Agreement ("Agreement") is effective as of the ____ day of __________, 20, by and among the undersigned members: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Business Details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Business Name: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Business Type: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Principal Office Address: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Members and Contributions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Each member’s contribution is recorded as follows:</w:t>
        <w:br w:type="textWrapping"/>
        <w:t xml:space="preserve">Member 1: ____________________________________________</w:t>
        <w:br w:type="textWrapping"/>
        <w:t xml:space="preserve">Member 2: ____________________________________________</w:t>
        <w:br w:type="textWrapping"/>
        <w:t xml:space="preserve">Membership interests are based on capital contributions.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Financial Provisions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The initial capital investment is set at $____________. All profits will be distributed according to membership interests. Financial records shall be maintained annually.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Decision-Making and Meetings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Members agree to meet semi-annually. Major business decisions require a ____% majority vote.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Dispute Resolution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Any disputes arising from this Agreement shall be resolved through arbitration. The laws of the State of _____________ shall govern.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Member 1: ___________________________________________</w:t>
        <w:br w:type="textWrapping"/>
        <w:t xml:space="preserve">Member 2: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