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Army Action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Counseling Overview: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Counselor’s 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Soldier’s 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Session: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Counseling:</w:t>
        <w:br w:type="textWrapping"/>
        <w:t xml:space="preserve">☐ Misconduct</w:t>
        <w:br w:type="textWrapping"/>
        <w:t xml:space="preserve">☐ Underperformance</w:t>
        <w:br w:type="textWrapping"/>
        <w:t xml:space="preserve">☐ Behavioral Concerns</w:t>
        <w:br w:type="textWrapping"/>
        <w:t xml:space="preserve">☐ Other: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Incident: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Incident: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Impact on Unit: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Corrective Action Plan: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Steps to Address the Issue: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 Offered by Counselor: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Monitoring Progress:</w:t>
      </w:r>
    </w:p>
    <w:tbl>
      <w:tblPr>
        <w:tblStyle w:val="Table1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590"/>
        <w:gridCol w:w="1260"/>
        <w:gridCol w:w="1785"/>
        <w:tblGridChange w:id="0">
          <w:tblGrid>
            <w:gridCol w:w="2865"/>
            <w:gridCol w:w="1590"/>
            <w:gridCol w:w="1260"/>
            <w:gridCol w:w="1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Follow-up 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understand the contents of this counseling session and agree to the outlined corrective actions.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Counselor’s Signature: 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Soldier’s Signature: 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