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Florida Equipment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 (mm/dd/yyyy)</w:t>
      </w:r>
    </w:p>
    <w:p w:rsidR="00000000" w:rsidDel="00000000" w:rsidP="00000000" w:rsidRDefault="00000000" w:rsidRPr="00000000" w14:paraId="00000003">
      <w:pPr>
        <w:pStyle w:val="Title"/>
        <w:keepNext w:val="0"/>
        <w:keepLines w:val="0"/>
        <w:spacing w:after="0" w:line="360" w:lineRule="auto"/>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36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36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36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6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36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6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36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Equipment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Odometer/Hour Reading (if applicable): 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Description: 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Information</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2">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6">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and Conditions</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equipment described above is sold "as is," without any warranties or guarantees, either expressed or implied, including but not limited to any warranty of condition, merchantability, or fitness for a particular purpose. The Buyer acknowledges that they have inspected the equipment and accept it in its current condition.</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equipment and have the authority to sell it. The Seller further certifies that the equipment is free from any liens or encumbrances, except as noted in this Bill of Sale.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equipment upon execution of this Bill of Sale and transfer of possession.</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equipment in its current condition.</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Florida</w:t>
        <w:br w:type="textWrapping"/>
        <w:t xml:space="preserve">County of 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br w:type="textWrapping"/>
        <w:t xml:space="preserve">My Commission Expires: 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35">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