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980000"/>
          <w:sz w:val="40"/>
          <w:szCs w:val="40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40"/>
          <w:szCs w:val="40"/>
          <w:shd w:fill="b6d7a8" w:val="clear"/>
          <w:rtl w:val="0"/>
        </w:rPr>
        <w:t xml:space="preserve">Socio-demographic Questionnaire for Students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  <w:rtl w:val="0"/>
        </w:rPr>
        <w:t xml:space="preserve">Part I: Demographic Details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Age Group: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13-17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18-22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23-27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Gender Identity: 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Nationality: 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  <w:rtl w:val="0"/>
        </w:rPr>
        <w:t xml:space="preserve">Part II: Educational Background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Current Level of Education: 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Type of Institution: (Public/Private) 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  <w:rtl w:val="0"/>
        </w:rPr>
        <w:t xml:space="preserve">Part III: Social and Economic Background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Parents’/Guardians’ Occupation: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Family’s Annual Income: 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Access to Educational Resources at Home: (e.g., internet, computer) Yes / No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b6d7a8" w:val="clear"/>
          <w:rtl w:val="0"/>
        </w:rPr>
        <w:t xml:space="preserve">Part IV: Personal Interests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Hobbies/Interests: 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Participation in Social/Community Services: Yes / No</w:t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0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