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56"/>
          <w:szCs w:val="56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56"/>
          <w:szCs w:val="56"/>
          <w:highlight w:val="white"/>
          <w:rtl w:val="0"/>
        </w:rPr>
        <w:t xml:space="preserve">Reference Letter for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Header: 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[Your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Sub-header: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 [Your Professional Title / Relationship to the Applicant]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rtl w:val="0"/>
        </w:rPr>
        <w:t xml:space="preserve"> [Your Email and Phone Number]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Recipient:</w:t>
        <w:br w:type="textWrapping"/>
        <w:t xml:space="preserve">To Whom It May Concern,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Introduction: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Briefly introduce yourself and specify your relationship with the applicant, including how long you've known them.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Body: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Qualifications: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Describe the applicant's qualifications, skills, and why they are suited for the job.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Character and Interpersonal Skills: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Elaborate on the applicant's character traits that make them a great fit for the role and company culture.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Provide specific examples of achievements or situations that demonstrate the applicant's abilities and character.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Conclusion: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Endorse the applicant for the job, emphasizing your belief in their suitability and potential contributions.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Closing: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Offer availability for further discussion.</w:t>
        <w:br w:type="textWrapping"/>
        <w:t xml:space="preserve">"Please feel free to contact me if you need additional information."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[Your Signature]</w:t>
        <w:br w:type="textWrapping"/>
        <w:t xml:space="preserve">[Your Name]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