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z w:val="64"/>
          <w:szCs w:val="64"/>
          <w:shd w:fill="d9d2e9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sz w:val="64"/>
          <w:szCs w:val="64"/>
          <w:shd w:fill="d9d2e9" w:val="clear"/>
          <w:rtl w:val="0"/>
        </w:rPr>
        <w:t xml:space="preserve">Personal Letter of Recommendation for Student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Name]</w:t>
        <w:br w:type="textWrapping"/>
        <w:t xml:space="preserve">[Your Position]</w:t>
        <w:br w:type="textWrapping"/>
        <w:t xml:space="preserve">[Your Institution/Organization]</w:t>
        <w:br w:type="textWrapping"/>
        <w:t xml:space="preserve">[Address]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[Recipient's Name]</w:t>
        <w:br w:type="textWrapping"/>
        <w:t xml:space="preserve">[Recipient's Position]</w:t>
        <w:br w:type="textWrapping"/>
        <w:t xml:space="preserve">[Recipient's Institution/Organization]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Dear [Recipient's Name],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It brings me immense pleasure to recommend [Student's Name] for [Purpose of Recommendation]. Having known [Student's Name] for [Number of Years] as [Your Relationship], I have been consistently impressed by [his/her/their] dedication, integrity, and enthusiasm towards [his/her/their] studies and extracurricular activities.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[Student's Name]'s academic achievements are a testament to [his/her/their] hardworking nature and intellectual capability. [He/She/They] consistently ranks among the top of [his/her/their] class and displays a keen aptitude for [Specific Subject or Skill]. [His/Her/Their] ability to grasp complex concepts with ease and apply them in practical situations is remarkable.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Beyond academics, [Student's Name] is deeply involved in [Extracurricular Activities/Volunteering], where [he/she/they] has shown exceptional leadership skills. [His/Her/Their] commitment to [Cause/Community Service] has not only made a tangible difference but also inspired others to contribute.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[Student's Name]'s positive attitude and resilience in the face of challenges are truly inspiring. [He/She/They] possesses a rare combination of tenacity, intelligence, and compassion, making [him/her/them] an ideal candidate for [Purpose of Recommendation].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confident that [Student's Name] will excel in [his/her/their] future endeavors and make significant contributions to any program or opportunity [he/she/they] pursues. [He/She/They] has my highest recommendation.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