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0000ff"/>
          <w:sz w:val="42"/>
          <w:szCs w:val="42"/>
          <w:rtl w:val="0"/>
        </w:rPr>
        <w:t xml:space="preserve"> Immediate Termination Letter to Employee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This letter serves as formal notice of your immediate termination from [Company Name], effective as of [Date]. This action is the result of [reason for immediate termination, e.g., violation of company policy, misconduct]. Given the seriousness of this situation, we find it necessary to terminate your employment without further delay.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Immediate Effects of Termination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[Include details about compensation, benefits, and the return of company property.]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Legal and Procedural Notes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[Outline any legal or procedural information relevant to the immediate termination.]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Your cooperation in concluding your employment matters swiftly and professionally is appreciated.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[Contact Information]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