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2"/>
          <w:szCs w:val="4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2"/>
          <w:szCs w:val="42"/>
          <w:highlight w:val="white"/>
          <w:rtl w:val="0"/>
        </w:rPr>
        <w:t xml:space="preserve">Teacher Performance Appraisal Sample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Instructor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School/Institution: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Department/Grade Level: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Evaluation Period: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Performance Rating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98.552875695733"/>
        <w:gridCol w:w="5461.447124304267"/>
        <w:tblGridChange w:id="0">
          <w:tblGrid>
            <w:gridCol w:w="3898.552875695733"/>
            <w:gridCol w:w="5461.4471243042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Rating Scale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Definition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5 - Excellent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Far exceeds expectations in all areas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4 - Very Good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Exceeds expectations in most areas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3 - Satisfactory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Meets expectations in all areas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2 - Needs Improvement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Meets some but not all expectations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1 - Unsatisfactory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Does not meet expectations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Evaluator's Comments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Strengths: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Areas for Improvement: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Overall Rating: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Recommendations for Professional Development: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Instructor's Comments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Feedback on Appraisal: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Evaluator: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Teacher: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Instructions for Completion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This form should be completed by the evaluator and reviewed with the teacher at the end of the evaluation period.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Both the evaluator and the teacher should sign the form to acknowledge the appraisal has been discussed.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Additional documentation supporting the evaluation may be attached.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Please return the completed form to the school administration office by [insert due date].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This template provides a comprehensive structure for assessing teacher performance, focusing on key areas essential to effective teaching and professional development. It can be customized to suit different educational settings and specific appraisal requirements.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