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4"/>
          <w:szCs w:val="44"/>
          <w:rtl w:val="0"/>
        </w:rPr>
        <w:t xml:space="preserve">Sign Off Sheet for Work Completed</w:t>
      </w:r>
    </w:p>
    <w:p w:rsidR="00000000" w:rsidDel="00000000" w:rsidP="00000000" w:rsidRDefault="00000000" w:rsidRPr="00000000" w14:paraId="00000003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</w:rPr>
      </w:pPr>
      <w:bookmarkStart w:colFirst="0" w:colLast="0" w:name="_tgn394rmxd6k" w:id="0"/>
      <w:bookmarkEnd w:id="0"/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rtl w:val="0"/>
        </w:rPr>
        <w:br w:type="textWrapping"/>
        <w:t xml:space="preserve">Work Details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Work Description: 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Completed By: 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Date of Completion: 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Work Order Number: ___________________________</w:t>
      </w:r>
    </w:p>
    <w:p w:rsidR="00000000" w:rsidDel="00000000" w:rsidP="00000000" w:rsidRDefault="00000000" w:rsidRPr="00000000" w14:paraId="00000008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</w:rPr>
      </w:pPr>
      <w:bookmarkStart w:colFirst="0" w:colLast="0" w:name="_j29h68f4nfi9" w:id="1"/>
      <w:bookmarkEnd w:id="1"/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rtl w:val="0"/>
        </w:rPr>
        <w:t xml:space="preserve">Work Verification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[ ] Work completed to satisfaction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[ ] All safety standards met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[ ] No defects found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ind w:left="720" w:hanging="360"/>
        <w:rPr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[ ] Ready for operational use</w:t>
      </w:r>
    </w:p>
    <w:p w:rsidR="00000000" w:rsidDel="00000000" w:rsidP="00000000" w:rsidRDefault="00000000" w:rsidRPr="00000000" w14:paraId="0000000D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</w:rPr>
      </w:pPr>
      <w:bookmarkStart w:colFirst="0" w:colLast="0" w:name="_k01xanhq55gq" w:id="2"/>
      <w:bookmarkEnd w:id="2"/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rtl w:val="0"/>
        </w:rPr>
        <w:t xml:space="preserve">Client Approval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Client Name: 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Signature: 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Date: ___________________________</w:t>
      </w:r>
    </w:p>
    <w:p w:rsidR="00000000" w:rsidDel="00000000" w:rsidP="00000000" w:rsidRDefault="00000000" w:rsidRPr="00000000" w14:paraId="00000011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</w:rPr>
      </w:pPr>
      <w:bookmarkStart w:colFirst="0" w:colLast="0" w:name="_rq105ie0alm1" w:id="3"/>
      <w:bookmarkEnd w:id="3"/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rtl w:val="0"/>
        </w:rPr>
        <w:t xml:space="preserve">Contractor Confirmation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Contractor Name: 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Signature: 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Date: ___________________________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