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0d0d0d"/>
          <w:sz w:val="48"/>
          <w:szCs w:val="48"/>
          <w:rtl w:val="0"/>
        </w:rPr>
        <w:t xml:space="preserve">Fake Medical Report PDF Download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Patient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Name: John Doe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Date of Birth: MM/DD/YYYY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Gender: Male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Report Date: MM/DD/YYYY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History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General Health: Good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Known Allergies: None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Previous Conditions: N/A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Examination Summary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Vital Signs:</w:t>
      </w:r>
      <w:r w:rsidDel="00000000" w:rsidR="00000000" w:rsidRPr="00000000">
        <w:rPr>
          <w:sz w:val="24"/>
          <w:szCs w:val="24"/>
          <w:rtl w:val="0"/>
        </w:rPr>
        <w:t xml:space="preserve"> Normal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Blood Pressure: 120/80 mmHg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Heart Rate: 72 bpm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Physical Examination: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General State: Healthy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Cardiovascular System: Normal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Respiratory System: Clear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Neurological System: Responsive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Laboratory Results (Note: These values are illustrative)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Complete Blood Count: Within normal range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Blood Glucose: Normal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Cholesterol Levels: Normal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Diagnosis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 patient is in a general state of good health with no significant findings.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Recommendations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Continue with regular physical activity.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Maintain a balanced diet.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Annual check-up recommended.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Physician's Signature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Dr. Jane Smith (This is a fictional representation)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