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4"/>
          <w:szCs w:val="44"/>
          <w:rtl w:val="0"/>
        </w:rPr>
        <w:t xml:space="preserve">Employee Clearance Form Template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00ab4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Name: 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ID Number: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Department/Team: 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Role/Title: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Start Date: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End Date: 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ab4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24"/>
          <w:szCs w:val="24"/>
          <w:rtl w:val="0"/>
        </w:rPr>
        <w:t xml:space="preserve">Clearance Items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ab44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24"/>
          <w:szCs w:val="24"/>
          <w:rtl w:val="0"/>
        </w:rPr>
        <w:t xml:space="preserve">Equipment and Assets Return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Laptop: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[ ] Yes [ ] No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Mobile Device: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 ] Yes [ ] No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Keys/Access Cards: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[ ] Yes [ ] No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Other Assets: 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ab44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24"/>
          <w:szCs w:val="24"/>
          <w:rtl w:val="0"/>
        </w:rPr>
        <w:t xml:space="preserve">Financial Settlements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Loan Balance: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[ ] Cleared [ ] Pending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Expense Claims: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 ] Submitted [ ] Pending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ab44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24"/>
          <w:szCs w:val="24"/>
          <w:rtl w:val="0"/>
        </w:rPr>
        <w:t xml:space="preserve">HR Procedures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Exit Interview: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 ] Completed [ ] Scheduled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Document Submission: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[ ] Done [ ] Pending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ab4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24"/>
          <w:szCs w:val="24"/>
          <w:rtl w:val="0"/>
        </w:rPr>
        <w:t xml:space="preserve">Approvals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Supervisor/Manager: ______________________ Date: 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HR Department: __________________________ Date: 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